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14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Green Paula</w:t>
              </w:r>
            </w:hyperlink>
          </w:p>
        </w:tc>
        <w:tc>
          <w:tcPr>
            <w:tcW w:w="8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Twist Bioscience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TWST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86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800" w:type="dxa"/>
            <w:vAlign w:val="bottom"/>
            <w:tcBorders>
              <w:top w:val="single" w:sz="8" w:color="0000EE"/>
            </w:tcBorders>
          </w:tcPr>
          <w:p>
            <w:pPr>
              <w:spacing w:after="0"/>
              <w:rPr>
                <w:sz w:val="5"/>
                <w:szCs w:val="5"/>
                <w:color w:val="auto"/>
              </w:rPr>
            </w:pPr>
          </w:p>
        </w:tc>
        <w:tc>
          <w:tcPr>
            <w:tcW w:w="1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1060" w:type="dxa"/>
            <w:vAlign w:val="bottom"/>
            <w:tcBorders>
              <w:top w:val="single" w:sz="8" w:color="0000EE"/>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164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40" w:type="dxa"/>
            <w:vAlign w:val="bottom"/>
          </w:tcPr>
          <w:p>
            <w:pPr>
              <w:spacing w:after="0"/>
              <w:rPr>
                <w:sz w:val="9"/>
                <w:szCs w:val="9"/>
                <w:color w:val="auto"/>
              </w:rPr>
            </w:pPr>
          </w:p>
        </w:tc>
        <w:tc>
          <w:tcPr>
            <w:tcW w:w="114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860" w:type="dxa"/>
            <w:vAlign w:val="bottom"/>
            <w:vMerge w:val="restart"/>
          </w:tcPr>
          <w:p>
            <w:pPr>
              <w:ind w:left="8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800" w:type="dxa"/>
            <w:vAlign w:val="bottom"/>
            <w:tcBorders>
              <w:bottom w:val="single" w:sz="8" w:color="2C2C2C"/>
            </w:tcBorders>
          </w:tcPr>
          <w:p>
            <w:pPr>
              <w:spacing w:after="0"/>
              <w:rPr>
                <w:sz w:val="9"/>
                <w:szCs w:val="9"/>
                <w:color w:val="auto"/>
              </w:rPr>
            </w:pPr>
          </w:p>
        </w:tc>
        <w:tc>
          <w:tcPr>
            <w:tcW w:w="18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1640" w:type="dxa"/>
            <w:vAlign w:val="bottom"/>
            <w:vMerge w:val="continue"/>
          </w:tcPr>
          <w:p>
            <w:pPr>
              <w:spacing w:after="0"/>
              <w:rPr>
                <w:sz w:val="16"/>
                <w:szCs w:val="16"/>
                <w:color w:val="auto"/>
              </w:rPr>
            </w:pP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66"/>
        </w:trPr>
        <w:tc>
          <w:tcPr>
            <w:tcW w:w="40" w:type="dxa"/>
            <w:vAlign w:val="bottom"/>
          </w:tcPr>
          <w:p>
            <w:pPr>
              <w:spacing w:after="0"/>
              <w:rPr>
                <w:sz w:val="23"/>
                <w:szCs w:val="23"/>
                <w:color w:val="auto"/>
              </w:rPr>
            </w:pPr>
          </w:p>
        </w:tc>
        <w:tc>
          <w:tcPr>
            <w:tcW w:w="364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C/O TWIST BIOSCIENCE CORPORATION</w:t>
            </w:r>
          </w:p>
        </w:tc>
        <w:tc>
          <w:tcPr>
            <w:tcW w:w="208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06/08/2026</w:t>
            </w:r>
          </w:p>
        </w:tc>
        <w:tc>
          <w:tcPr>
            <w:tcW w:w="18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681 GATEWAY BLVD.</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665"/>
        <w:spacing w:after="0"/>
        <w:rPr>
          <w:sz w:val="20"/>
          <w:szCs w:val="20"/>
          <w:color w:val="auto"/>
        </w:rPr>
      </w:pPr>
      <w:r>
        <w:rPr>
          <w:rFonts w:ascii="Times New Roman" w:cs="Times New Roman" w:eastAsia="Times New Roman" w:hAnsi="Times New Roman"/>
          <w:sz w:val="17"/>
          <w:szCs w:val="17"/>
          <w:color w:val="0000FF"/>
        </w:rPr>
        <w:t>SVP of Human Resources</w:t>
      </w:r>
    </w:p>
    <w:p>
      <w:pPr>
        <w:spacing w:after="0" w:line="562"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shd w:val="clear" w:color="auto" w:fill="9A9A9A"/>
          </w:tcPr>
          <w:p>
            <w:pPr>
              <w:spacing w:after="0"/>
              <w:rPr>
                <w:sz w:val="3"/>
                <w:szCs w:val="3"/>
                <w:color w:val="auto"/>
              </w:rPr>
            </w:pPr>
          </w:p>
        </w:tc>
        <w:tc>
          <w:tcPr>
            <w:tcW w:w="560" w:type="dxa"/>
            <w:vAlign w:val="bottom"/>
            <w:shd w:val="clear" w:color="auto" w:fill="9A9A9A"/>
          </w:tcPr>
          <w:p>
            <w:pPr>
              <w:spacing w:after="0"/>
              <w:rPr>
                <w:sz w:val="3"/>
                <w:szCs w:val="3"/>
                <w:color w:val="auto"/>
              </w:rPr>
            </w:pPr>
          </w:p>
        </w:tc>
        <w:tc>
          <w:tcPr>
            <w:tcW w:w="300" w:type="dxa"/>
            <w:vAlign w:val="bottom"/>
            <w:shd w:val="clear" w:color="auto" w:fill="9A9A9A"/>
          </w:tcPr>
          <w:p>
            <w:pPr>
              <w:spacing w:after="0"/>
              <w:rPr>
                <w:sz w:val="3"/>
                <w:szCs w:val="3"/>
                <w:color w:val="auto"/>
              </w:rPr>
            </w:pPr>
          </w:p>
        </w:tc>
        <w:tc>
          <w:tcPr>
            <w:tcW w:w="82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3540" w:type="dxa"/>
            <w:vAlign w:val="bottom"/>
            <w:gridSpan w:val="6"/>
            <w:vMerge w:val="continue"/>
          </w:tcPr>
          <w:p>
            <w:pPr>
              <w:spacing w:after="0"/>
              <w:rPr>
                <w:sz w:val="9"/>
                <w:szCs w:val="9"/>
                <w:color w:val="auto"/>
              </w:rPr>
            </w:pPr>
          </w:p>
        </w:tc>
        <w:tc>
          <w:tcPr>
            <w:tcW w:w="376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SOUTH SAN</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94080</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6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60" w:type="dxa"/>
            <w:vAlign w:val="bottom"/>
            <w:gridSpan w:val="3"/>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7"/>
                <w:szCs w:val="17"/>
                <w:color w:val="0000FF"/>
              </w:rPr>
              <w:t>06/08/2026</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884</w:t>
            </w:r>
            <w:r>
              <w:rPr>
                <w:rFonts w:ascii="Times New Roman" w:cs="Times New Roman" w:eastAsia="Times New Roman" w:hAnsi="Times New Roman"/>
                <w:sz w:val="22"/>
                <w:szCs w:val="22"/>
                <w:color w:val="008000"/>
                <w:vertAlign w:val="superscript"/>
              </w:rPr>
              <w:t>(1)</w:t>
            </w:r>
          </w:p>
        </w:tc>
        <w:tc>
          <w:tcPr>
            <w:tcW w:w="4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69.8442</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120,705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required to be sold by the Reporting Person to cover tax withholding obligations in connection with the vesting of Restricted Stock Units. These sales are mandated by the Issuer's election under its equity incentive plans to require the satisfaction of a tax withholding obligation to be funded by a "sell to cover" transaction and do not represent discretionary trades by the Reporting Person.</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Kendra Fox, as Attorney-</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06/10/2026</w:t>
            </w: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 for Paula Green</w:t>
            </w: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40" w:type="dxa"/>
            <w:vAlign w:val="bottom"/>
            <w:shd w:val="clear" w:color="auto" w:fill="000000"/>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53672" TargetMode="External"/><Relationship Id="rId14" Type="http://schemas.openxmlformats.org/officeDocument/2006/relationships/hyperlink" Target="http://www.sec.gov/cgi-bin/browse-edgar?action=getcompany&amp;CIK=000158128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2026-06-10T15:10:35Z</dcterms:created>
  <dcterms:modified xsi:type="dcterms:W3CDTF">2026-06-10T15:10:35Z</dcterms:modified>
</cp:coreProperties>
</file>