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0001590947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WERNER ROBERT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1482</w:t>
            </w:r>
          </w:p>
        </w:tc>
        <w:tc>
          <w:tcPr>
            <w:tcW w:w="1377" w:type="dxa"/>
            <w:tcBorders/>
            <w:vAlign w:val="center"/>
          </w:tcPr>
          <w:p>
            <w:pPr>
              <w:pStyle w:val="TableContents"/>
              <w:bidi w:val="0"/>
              <w:spacing w:before="0" w:after="283"/>
              <w:jc w:val="left"/>
              <w:rPr/>
            </w:pPr>
            <w:r>
              <w:rPr/>
              <w:t>279925.79</w:t>
            </w:r>
          </w:p>
        </w:tc>
        <w:tc>
          <w:tcPr>
            <w:tcW w:w="1552" w:type="dxa"/>
            <w:tcBorders/>
            <w:vAlign w:val="center"/>
          </w:tcPr>
          <w:p>
            <w:pPr>
              <w:pStyle w:val="TableContents"/>
              <w:bidi w:val="0"/>
              <w:spacing w:before="0" w:after="283"/>
              <w:jc w:val="left"/>
              <w:rPr/>
            </w:pPr>
            <w:r>
              <w:rPr/>
              <w:t>62707424</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1482</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167</w:t>
            </w:r>
          </w:p>
        </w:tc>
        <w:tc>
          <w:tcPr>
            <w:tcW w:w="1769" w:type="dxa"/>
            <w:tcBorders/>
            <w:vAlign w:val="center"/>
          </w:tcPr>
          <w:p>
            <w:pPr>
              <w:pStyle w:val="TableContents"/>
              <w:bidi w:val="0"/>
              <w:spacing w:before="0" w:after="283"/>
              <w:jc w:val="left"/>
              <w:rPr/>
            </w:pPr>
            <w:r>
              <w:rPr/>
              <w:t>14248.64</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08/21/2026</w:t>
            </w:r>
          </w:p>
        </w:tc>
        <w:tc>
          <w:tcPr>
            <w:tcW w:w="1569" w:type="dxa"/>
            <w:tcBorders/>
            <w:vAlign w:val="center"/>
          </w:tcPr>
          <w:p>
            <w:pPr>
              <w:pStyle w:val="TableContents"/>
              <w:bidi w:val="0"/>
              <w:spacing w:before="0" w:after="283"/>
              <w:jc w:val="left"/>
              <w:rPr/>
            </w:pPr>
            <w:r>
              <w:rPr/>
              <w:t>669</w:t>
            </w:r>
          </w:p>
        </w:tc>
        <w:tc>
          <w:tcPr>
            <w:tcW w:w="1769" w:type="dxa"/>
            <w:tcBorders/>
            <w:vAlign w:val="center"/>
          </w:tcPr>
          <w:p>
            <w:pPr>
              <w:pStyle w:val="TableContents"/>
              <w:bidi w:val="0"/>
              <w:spacing w:before="0" w:after="283"/>
              <w:jc w:val="left"/>
              <w:rPr/>
            </w:pPr>
            <w:r>
              <w:rPr/>
              <w:t>93035.42</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08/24/2026</w:t>
            </w:r>
          </w:p>
        </w:tc>
        <w:tc>
          <w:tcPr>
            <w:tcW w:w="1569" w:type="dxa"/>
            <w:tcBorders/>
            <w:vAlign w:val="center"/>
          </w:tcPr>
          <w:p>
            <w:pPr>
              <w:pStyle w:val="TableContents"/>
              <w:bidi w:val="0"/>
              <w:spacing w:before="0" w:after="283"/>
              <w:jc w:val="left"/>
              <w:rPr/>
            </w:pPr>
            <w:r>
              <w:rPr/>
              <w:t>854</w:t>
            </w:r>
          </w:p>
        </w:tc>
        <w:tc>
          <w:tcPr>
            <w:tcW w:w="1769" w:type="dxa"/>
            <w:tcBorders/>
            <w:vAlign w:val="center"/>
          </w:tcPr>
          <w:p>
            <w:pPr>
              <w:pStyle w:val="TableContents"/>
              <w:bidi w:val="0"/>
              <w:spacing w:before="0" w:after="283"/>
              <w:jc w:val="left"/>
              <w:rPr/>
            </w:pPr>
            <w:r>
              <w:rPr/>
              <w:t>120219.72</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09/08/2026</w:t>
            </w:r>
          </w:p>
        </w:tc>
        <w:tc>
          <w:tcPr>
            <w:tcW w:w="1569" w:type="dxa"/>
            <w:tcBorders/>
            <w:vAlign w:val="center"/>
          </w:tcPr>
          <w:p>
            <w:pPr>
              <w:pStyle w:val="TableContents"/>
              <w:bidi w:val="0"/>
              <w:spacing w:before="0" w:after="283"/>
              <w:jc w:val="left"/>
              <w:rPr/>
            </w:pPr>
            <w:r>
              <w:rPr/>
              <w:t>238</w:t>
            </w:r>
          </w:p>
        </w:tc>
        <w:tc>
          <w:tcPr>
            <w:tcW w:w="1769" w:type="dxa"/>
            <w:tcBorders/>
            <w:vAlign w:val="center"/>
          </w:tcPr>
          <w:p>
            <w:pPr>
              <w:pStyle w:val="TableContents"/>
              <w:bidi w:val="0"/>
              <w:spacing w:before="0" w:after="283"/>
              <w:jc w:val="left"/>
              <w:rPr/>
            </w:pPr>
            <w:r>
              <w:rPr/>
              <w:t>29184.49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3"/>
        <w:gridCol w:w="8472"/>
      </w:tblGrid>
      <w:tr>
        <w:trPr/>
        <w:tc>
          <w:tcPr>
            <w:tcW w:w="1733" w:type="dxa"/>
            <w:tcBorders/>
            <w:vAlign w:val="center"/>
          </w:tcPr>
          <w:p>
            <w:pPr>
              <w:pStyle w:val="TableContents"/>
              <w:bidi w:val="0"/>
              <w:spacing w:before="0" w:after="283"/>
              <w:jc w:val="left"/>
              <w:rPr/>
            </w:pPr>
            <w:r>
              <w:rPr/>
              <w:t>Remarks</w:t>
            </w:r>
          </w:p>
        </w:tc>
        <w:tc>
          <w:tcPr>
            <w:tcW w:w="847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3" w:type="dxa"/>
            <w:tcBorders/>
            <w:vAlign w:val="center"/>
          </w:tcPr>
          <w:p>
            <w:pPr>
              <w:pStyle w:val="TableContents"/>
              <w:bidi w:val="0"/>
              <w:spacing w:before="0" w:after="283"/>
              <w:jc w:val="left"/>
              <w:rPr/>
            </w:pPr>
            <w:r>
              <w:rPr/>
              <w:t>Date of Notice</w:t>
            </w:r>
          </w:p>
        </w:tc>
        <w:tc>
          <w:tcPr>
            <w:tcW w:w="8472"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3" w:type="dxa"/>
            <w:tcBorders/>
            <w:vAlign w:val="center"/>
          </w:tcPr>
          <w:p>
            <w:pPr>
              <w:pStyle w:val="TableContents"/>
              <w:bidi w:val="0"/>
              <w:spacing w:before="0" w:after="283"/>
              <w:jc w:val="left"/>
              <w:rPr/>
            </w:pPr>
            <w:r>
              <w:rPr/>
              <w:t>Signature</w:t>
            </w:r>
          </w:p>
        </w:tc>
        <w:tc>
          <w:tcPr>
            <w:tcW w:w="8472" w:type="dxa"/>
            <w:tcBorders/>
            <w:vAlign w:val="center"/>
          </w:tcPr>
          <w:p>
            <w:pPr>
              <w:pStyle w:val="TableContents"/>
              <w:bidi w:val="0"/>
              <w:spacing w:before="0" w:after="0"/>
              <w:jc w:val="left"/>
              <w:rPr/>
            </w:pPr>
            <w:r>
              <w:rPr/>
              <w:t>/s/ Joshua Schmitt, as a duly authorized representative of Fidelity Brokerage Services LLC, as attorney-in-fact for Robert F. Werner.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3491</Characters>
  <CharactersWithSpaces>4110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