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August 18,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48"/>
        </w:rPr>
      </w:pPr>
      <w:r>
        <w:rPr>
          <w:rFonts w:ascii="Times New Roman;serif" w:hAnsi="Times New Roman;serif"/>
          <w:b/>
          <w:color w:val="000000"/>
          <w:sz w:val="48"/>
        </w:rPr>
        <w:t>Twist Bioscience Corporation</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16"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001-38720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46-2058888</w:t>
            </w:r>
          </w:p>
        </w:tc>
      </w:tr>
      <w:tr>
        <w:trPr/>
        <w:tc>
          <w:tcPr>
            <w:tcW w:w="2354" w:type="dxa"/>
            <w:gridSpan w:val="3"/>
            <w:tcBorders/>
            <w:tcMar>
              <w:top w:w="0" w:type="dxa"/>
              <w:left w:w="0" w:type="dxa"/>
              <w:bottom w:w="0" w:type="dxa"/>
              <w:right w:w="0" w:type="dxa"/>
            </w:tcMar>
            <w:vAlign w:val="center"/>
          </w:tcPr>
          <w:p>
            <w:pPr>
              <w:pStyle w:val="TableContents"/>
              <w:bidi w:val="0"/>
              <w:spacing w:lineRule="auto" w:line="276" w:before="5" w:after="5"/>
              <w:jc w:val="center"/>
              <w:rPr>
                <w:rFonts w:ascii="Times New Roman;serif" w:hAnsi="Times New Roman;serif"/>
                <w:b/>
                <w:color w:val="000000"/>
                <w:sz w:val="20"/>
              </w:rPr>
            </w:pPr>
            <w:r>
              <w:rPr>
                <w:rFonts w:ascii="Times New Roman;serif" w:hAnsi="Times New Roman;serif"/>
                <w:b/>
                <w:color w:val="000000"/>
                <w:sz w:val="20"/>
              </w:rPr>
              <w:t>(State or other jurisdiction</w:t>
            </w:r>
          </w:p>
          <w:p>
            <w:pPr>
              <w:pStyle w:val="TableContents"/>
              <w:bidi w:val="0"/>
              <w:spacing w:lineRule="auto" w:line="276" w:before="5" w:after="5"/>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6" w:before="5" w:after="5"/>
              <w:jc w:val="center"/>
              <w:rPr>
                <w:rFonts w:ascii="Times New Roman;serif" w:hAnsi="Times New Roman;serif"/>
                <w:b/>
                <w:color w:val="000000"/>
                <w:sz w:val="20"/>
              </w:rPr>
            </w:pPr>
            <w:r>
              <w:rPr>
                <w:rFonts w:ascii="Times New Roman;serif" w:hAnsi="Times New Roman;serif"/>
                <w:b/>
                <w:color w:val="000000"/>
                <w:sz w:val="20"/>
              </w:rPr>
              <w:t>(Commission</w:t>
            </w:r>
          </w:p>
          <w:p>
            <w:pPr>
              <w:pStyle w:val="TableContents"/>
              <w:bidi w:val="0"/>
              <w:spacing w:lineRule="auto" w:line="276" w:before="5" w:after="5"/>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76" w:before="5" w:after="5"/>
              <w:jc w:val="center"/>
              <w:rPr>
                <w:rFonts w:ascii="Times New Roman;serif" w:hAnsi="Times New Roman;serif"/>
                <w:b/>
                <w:color w:val="000000"/>
                <w:sz w:val="20"/>
              </w:rPr>
            </w:pPr>
            <w:r>
              <w:rPr>
                <w:rFonts w:ascii="Times New Roman;serif" w:hAnsi="Times New Roman;serif"/>
                <w:b/>
                <w:color w:val="000000"/>
                <w:sz w:val="20"/>
              </w:rPr>
              <w:t>(I. R. S. Employer</w:t>
            </w:r>
          </w:p>
          <w:p>
            <w:pPr>
              <w:pStyle w:val="TableContents"/>
              <w:bidi w:val="0"/>
              <w:spacing w:lineRule="auto" w:line="276" w:before="5" w:after="5"/>
              <w:jc w:val="center"/>
              <w:rPr>
                <w:rFonts w:ascii="Times New Roman;serif" w:hAnsi="Times New Roman;serif"/>
                <w:b/>
                <w:color w:val="000000"/>
                <w:sz w:val="20"/>
              </w:rPr>
            </w:pPr>
            <w:r>
              <w:rPr>
                <w:rFonts w:ascii="Times New Roman;serif" w:hAnsi="Times New Roman;serif"/>
                <w:b/>
                <w:color w:val="000000"/>
                <w:sz w:val="20"/>
              </w:rPr>
              <w:t>Identification No.)</w:t>
            </w:r>
          </w:p>
        </w:tc>
      </w:tr>
    </w:tbl>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681 Gateway Boulevard</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South San Francisco, CA 94080</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(800) 719-0671</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796" w:type="dxa"/>
        <w:jc w:val="left"/>
        <w:tblInd w:w="0" w:type="dxa"/>
        <w:tblLayout w:type="fixed"/>
        <w:tblCellMar>
          <w:top w:w="28" w:type="dxa"/>
          <w:left w:w="28" w:type="dxa"/>
          <w:bottom w:w="28" w:type="dxa"/>
          <w:right w:w="28" w:type="dxa"/>
        </w:tblCellMar>
      </w:tblPr>
      <w:tblGrid>
        <w:gridCol w:w="124"/>
        <w:gridCol w:w="109"/>
        <w:gridCol w:w="109"/>
        <w:gridCol w:w="2180"/>
        <w:gridCol w:w="2180"/>
        <w:gridCol w:w="30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5" w:after="5"/>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bl>
    <w:tbl>
      <w:tblPr>
        <w:tblW w:w="7828" w:type="dxa"/>
        <w:jc w:val="left"/>
        <w:tblInd w:w="0" w:type="dxa"/>
        <w:tblLayout w:type="fixed"/>
        <w:tblCellMar>
          <w:top w:w="28" w:type="dxa"/>
          <w:left w:w="28" w:type="dxa"/>
          <w:bottom w:w="28" w:type="dxa"/>
          <w:right w:w="28" w:type="dxa"/>
        </w:tblCellMar>
      </w:tblPr>
      <w:tblGrid>
        <w:gridCol w:w="141"/>
        <w:gridCol w:w="124"/>
        <w:gridCol w:w="124"/>
        <w:gridCol w:w="2175"/>
        <w:gridCol w:w="2175"/>
        <w:gridCol w:w="308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76" w:before="5" w:after="5"/>
              <w:jc w:val="left"/>
              <w:rPr>
                <w:color w:val="000000"/>
              </w:rPr>
            </w:pPr>
            <w:r>
              <w:rPr>
                <w:color w:val="000000"/>
              </w:rPr>
              <w:t xml:space="preserve">☐ </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5" w:after="5"/>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508" w:type="dxa"/>
        <w:jc w:val="left"/>
        <w:tblInd w:w="0" w:type="dxa"/>
        <w:tblLayout w:type="fixed"/>
        <w:tblCellMar>
          <w:top w:w="28" w:type="dxa"/>
          <w:left w:w="28" w:type="dxa"/>
          <w:bottom w:w="28" w:type="dxa"/>
          <w:right w:w="28" w:type="dxa"/>
        </w:tblCellMar>
      </w:tblPr>
      <w:tblGrid>
        <w:gridCol w:w="141"/>
        <w:gridCol w:w="124"/>
        <w:gridCol w:w="124"/>
        <w:gridCol w:w="2671"/>
        <w:gridCol w:w="2671"/>
        <w:gridCol w:w="3777"/>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76" w:before="5" w:after="5"/>
              <w:jc w:val="left"/>
              <w:rPr>
                <w:color w:val="000000"/>
              </w:rPr>
            </w:pPr>
            <w:r>
              <w:rPr>
                <w:color w:val="000000"/>
              </w:rPr>
              <w:t xml:space="preserve">☐ </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6216" w:type="dxa"/>
        <w:jc w:val="left"/>
        <w:tblInd w:w="0" w:type="dxa"/>
        <w:tblLayout w:type="fixed"/>
        <w:tblCellMar>
          <w:top w:w="28" w:type="dxa"/>
          <w:left w:w="28" w:type="dxa"/>
          <w:bottom w:w="28" w:type="dxa"/>
          <w:right w:w="28" w:type="dxa"/>
        </w:tblCellMar>
      </w:tblPr>
      <w:tblGrid>
        <w:gridCol w:w="585"/>
        <w:gridCol w:w="514"/>
        <w:gridCol w:w="520"/>
        <w:gridCol w:w="109"/>
        <w:gridCol w:w="109"/>
        <w:gridCol w:w="109"/>
        <w:gridCol w:w="314"/>
        <w:gridCol w:w="314"/>
        <w:gridCol w:w="316"/>
        <w:gridCol w:w="109"/>
        <w:gridCol w:w="109"/>
        <w:gridCol w:w="109"/>
        <w:gridCol w:w="876"/>
        <w:gridCol w:w="876"/>
        <w:gridCol w:w="1247"/>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5" w:after="1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5" w:after="1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76" w:before="5" w:after="1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76" w:before="5" w:after="1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TWST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before="0" w:after="0"/>
        <w:jc w:val="left"/>
        <w:rPr/>
      </w:pPr>
      <w:r>
        <w:rPr/>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18, 2026, Anthropic, PBC (“Anthropic”) published a blog post announcing that it had received data back for a multi-arm protein design campaign against 15 targets using Claude Opus 4.8 and Mythos Preview, and that it had chosen Twist Bioscience Corporation (the “Company”) as one of its independent evaluators to rapidly produce at scale these AI-designed proteins and test these designs for binding. The blog post is available at www.anthropic.com/research/Claude-accelerates-protein-design . Information on or accessible through Anthropic’s website is not incorporated by reference in this Current Report on Form 8-K.</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in this Item 7.01 is being furnished and shall not be deemed to be “filed” for the purposes of Section 18 of the Securities Exchange Act of 1934, as amended, or otherwise subject to the liabilities of that section, nor shall it be deemed to be incorporated by reference into any registration statement or other document filed pursuant to the Securities Act of 1933, as amended, except as shall be expressly set forth by specific reference in such filing.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150" w:type="dxa"/>
        <w:jc w:val="left"/>
        <w:tblInd w:w="0" w:type="dxa"/>
        <w:tblLayout w:type="fixed"/>
        <w:tblCellMar>
          <w:top w:w="28" w:type="dxa"/>
          <w:left w:w="28" w:type="dxa"/>
          <w:bottom w:w="28" w:type="dxa"/>
          <w:right w:w="28" w:type="dxa"/>
        </w:tblCellMar>
      </w:tblPr>
      <w:tblGrid>
        <w:gridCol w:w="705"/>
        <w:gridCol w:w="621"/>
        <w:gridCol w:w="624"/>
        <w:gridCol w:w="1229"/>
        <w:gridCol w:w="1229"/>
        <w:gridCol w:w="174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18, 2026</w:t>
            </w:r>
          </w:p>
        </w:tc>
        <w:tc>
          <w:tcPr>
            <w:tcW w:w="42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Twist Bioscience Corporation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Judy Yan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Judy Yan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Assistant General Counsel and Assistant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531</Words>
  <Characters>2917</Characters>
  <CharactersWithSpaces>3401</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