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marketforms-73750.xml.htm"/>
      <w:bookmarkStart w:id="1" w:name="ksmarketforms7375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Leproust Emily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TWIST BIOSCIENCE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681 GATEWAY BLVD.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SOUTH 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94080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Twist Bioscience Corp</w:t>
              </w:r>
            </w:hyperlink>
            <w:r>
              <w:rPr/>
              <w:t xml:space="preserve"> [ </w:t>
            </w:r>
            <w:r>
              <w:rPr>
                <w:rFonts w:ascii="Times;serif" w:hAnsi="Times;serif"/>
                <w:color w:val="0000FF"/>
                <w:sz w:val="24"/>
                <w:shd w:fill="FFFFFF" w:val="clear"/>
              </w:rPr>
              <w:t>TWST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971"/>
        <w:gridCol w:w="927"/>
        <w:gridCol w:w="797"/>
        <w:gridCol w:w="616"/>
        <w:gridCol w:w="342"/>
        <w:gridCol w:w="1014"/>
        <w:gridCol w:w="421"/>
        <w:gridCol w:w="1103"/>
        <w:gridCol w:w="1118"/>
        <w:gridCol w:w="969"/>
        <w:gridCol w:w="92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97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8"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53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1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9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2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1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110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1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97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08/10/2026</w:t>
            </w:r>
          </w:p>
        </w:tc>
        <w:tc>
          <w:tcPr>
            <w:tcW w:w="7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113,318</w:t>
            </w:r>
          </w:p>
        </w:tc>
        <w:tc>
          <w:tcPr>
            <w:tcW w:w="4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26.66</w:t>
            </w:r>
          </w:p>
        </w:tc>
        <w:tc>
          <w:tcPr>
            <w:tcW w:w="11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932,256</w:t>
            </w:r>
          </w:p>
        </w:tc>
        <w:tc>
          <w:tcPr>
            <w:tcW w:w="9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7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08/10/2026</w:t>
            </w:r>
          </w:p>
        </w:tc>
        <w:tc>
          <w:tcPr>
            <w:tcW w:w="79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1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113,318</w:t>
            </w:r>
          </w:p>
        </w:tc>
        <w:tc>
          <w:tcPr>
            <w:tcW w:w="4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125.1615</w:t>
            </w:r>
            <w:r>
              <w:rPr>
                <w:rFonts w:ascii="Times;serif" w:hAnsi="Times;serif"/>
                <w:color w:val="008000"/>
                <w:position w:val="7"/>
                <w:sz w:val="16"/>
                <w:sz w:val="20"/>
                <w:shd w:fill="FFFFFF" w:val="clear"/>
              </w:rPr>
              <w:t>(2)</w:t>
            </w:r>
          </w:p>
        </w:tc>
        <w:tc>
          <w:tcPr>
            <w:tcW w:w="111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818,938</w:t>
            </w:r>
          </w:p>
        </w:tc>
        <w:tc>
          <w:tcPr>
            <w:tcW w:w="9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41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816"/>
        <w:gridCol w:w="906"/>
        <w:gridCol w:w="801"/>
        <w:gridCol w:w="891"/>
        <w:gridCol w:w="921"/>
        <w:gridCol w:w="801"/>
        <w:gridCol w:w="936"/>
        <w:gridCol w:w="831"/>
        <w:gridCol w:w="846"/>
      </w:tblGrid>
      <w:tr>
        <w:trPr>
          <w:tblHeader w:val="true"/>
        </w:trPr>
        <w:tc>
          <w:tcPr>
            <w:tcW w:w="1241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Employee 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5.95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09/28/2025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Employee 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23.33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10/23/2029</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131,290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Employee 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67.85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12/19/2022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08/31/2030</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64,950</w:t>
            </w:r>
            <w:r>
              <w:rPr>
                <w:rFonts w:ascii="Times;serif" w:hAnsi="Times;serif"/>
                <w:color w:val="008000"/>
                <w:position w:val="7"/>
                <w:sz w:val="16"/>
                <w:sz w:val="20"/>
                <w:shd w:fill="FFFFFF" w:val="clear"/>
              </w:rPr>
              <w:t>(5)</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Employee 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8.82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09/28/2027</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75,439</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Employee 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26.66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113,318</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11/18/2028</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113,318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153,221</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transactions reported on this Form 4 were effected pursuant to a Rule 10b5-1 trading plan previously adopted by the Reporting Person on May 27,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the weighted average sales price per share. The shares sold at prices ranging from $125.00 to $125.51 per share. Full information regarding the number of shares sold at each price shall be provided upon request to the staff of the U.S. Securities and Exchange Commission, the Issuer, or a security holder of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option is immediately exercisable. 25% of the shares subject to the option vested on September 1, 2016 and 1/48th of the shares subject to the option vest on each monthly anniversary thereafter, subject to the Reporting Person's continuous service through each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25% of the shares subject to the option vested on October 24, 2020, and 1/48th of the shares subject to the option vest on each monthly anniversary thereafter, subject to the Reporting Person's continuous service through each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Represents performance stock options granted to the reporting person on September 1, 2020, that vested and became exercisable on December 19, 2022 as a result of the reporting person having met the applicable performance criteria.</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option is immediately exercisable. 10% of the shares subject to the option vested on September 28, 2017, 15% of the shares subject to the option vested on September 28, 2018, and 1/48th of the shares subject to the option vest on each monthly anniversary thereafter, subject to the Reporting Person's continuous service through each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20% of the shares subject to the option vested and became exercisable on October 31, 2019 and 1/60th of the shares subject to the option vest and become exercisable on each monthly anniversary thereafter, subject to the Reporting Person's continuous service through each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Kendra Fox, as Attorney-in-Fact for Emily M. Leproust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753655" TargetMode="External"/><Relationship Id="rId5" Type="http://schemas.openxmlformats.org/officeDocument/2006/relationships/hyperlink" Target="http://www.sec.gov/cgi-bin/browse-edgar?action=getcompany&amp;CIK=000158128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965</Words>
  <Characters>5151</Characters>
  <CharactersWithSpaces>5989</CharactersWithSpaces>
  <Paragraphs>156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